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CD705AE" w:rsidP="32F2D8EB" w:rsidRDefault="7CD705AE" w14:paraId="21DF9595" w14:textId="55929CFC">
      <w:pPr>
        <w:pStyle w:val="Normal"/>
        <w:spacing w:after="0" w:line="240" w:lineRule="auto"/>
        <w:jc w:val="both"/>
      </w:pPr>
      <w:r w:rsidR="7CD705AE">
        <w:drawing>
          <wp:inline wp14:editId="2278A06D" wp14:anchorId="3EA8783B">
            <wp:extent cx="1514475" cy="504825"/>
            <wp:effectExtent l="0" t="0" r="0" b="0"/>
            <wp:docPr id="1242934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a41301203546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071" w:rsidP="32F2D8EB" w:rsidRDefault="00345CB6" w14:paraId="0A461E1B" w14:textId="7777777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  <w:r w:rsidRPr="32F2D8EB" w:rsidR="00345CB6">
        <w:rPr>
          <w:rFonts w:ascii="Calibri" w:hAnsi="Calibri" w:eastAsia="Calibri" w:cs="Calibri"/>
          <w:b w:val="1"/>
          <w:bCs w:val="1"/>
          <w:sz w:val="36"/>
          <w:szCs w:val="36"/>
        </w:rPr>
        <w:t>Growth Hormone at Home</w:t>
      </w:r>
    </w:p>
    <w:p w:rsidR="00BA3071" w:rsidP="32F2D8EB" w:rsidRDefault="00BA3071" w14:paraId="672A6659" w14:textId="7777777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</w:p>
    <w:p w:rsidR="00BA3071" w:rsidRDefault="00345CB6" w14:paraId="26EC9D84" w14:textId="77777777">
      <w:pPr>
        <w:spacing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Here are some things to keep in mind while your child is on growth hormone therapy (GH)</w:t>
      </w:r>
    </w:p>
    <w:p w:rsidR="00BA3071" w:rsidP="32F2D8EB" w:rsidRDefault="00345CB6" w14:paraId="1B860938" w14:textId="77777777">
      <w:pPr>
        <w:spacing w:after="0" w:line="240" w:lineRule="auto"/>
        <w:rPr>
          <w:rFonts w:ascii="Calibri" w:hAnsi="Calibri" w:eastAsia="Calibri" w:cs="Calibri"/>
          <w:b w:val="1"/>
          <w:bCs w:val="1"/>
          <w:u w:val="single"/>
        </w:rPr>
      </w:pPr>
      <w:r w:rsidRPr="32F2D8EB" w:rsidR="00345CB6">
        <w:rPr>
          <w:rFonts w:ascii="Calibri" w:hAnsi="Calibri" w:eastAsia="Calibri" w:cs="Calibri"/>
          <w:b w:val="1"/>
          <w:bCs w:val="1"/>
          <w:u w:val="single"/>
        </w:rPr>
        <w:t>Follow up:</w:t>
      </w:r>
    </w:p>
    <w:p w:rsidR="00BA3071" w:rsidRDefault="00345CB6" w14:paraId="02B8DBAB" w14:textId="77777777">
      <w:pPr>
        <w:numPr>
          <w:ilvl w:val="0"/>
          <w:numId w:val="1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Your child will have appointments every six months to monitor growth.</w:t>
      </w:r>
    </w:p>
    <w:p w:rsidR="00BA3071" w:rsidP="32F2D8EB" w:rsidRDefault="00345CB6" w14:paraId="42D873FE" w14:textId="668DA7C0">
      <w:pPr>
        <w:numPr>
          <w:ilvl w:val="0"/>
          <w:numId w:val="1"/>
        </w:numPr>
        <w:spacing w:after="0" w:line="240" w:lineRule="auto"/>
        <w:ind w:left="284"/>
        <w:rPr>
          <w:rFonts w:ascii="Calibri" w:hAnsi="Calibri" w:eastAsia="Calibri" w:cs="Calibri"/>
        </w:rPr>
      </w:pPr>
      <w:r w:rsidRPr="32F2D8EB" w:rsidR="00345CB6">
        <w:rPr>
          <w:rFonts w:ascii="Calibri" w:hAnsi="Calibri" w:eastAsia="Calibri" w:cs="Calibri"/>
        </w:rPr>
        <w:t xml:space="preserve">Bloodwork is checked once per year to ensure your child is on the </w:t>
      </w:r>
      <w:r w:rsidRPr="32F2D8EB" w:rsidR="00345CB6">
        <w:rPr>
          <w:rFonts w:ascii="Calibri" w:hAnsi="Calibri" w:eastAsia="Calibri" w:cs="Calibri"/>
        </w:rPr>
        <w:t>appropriate dose</w:t>
      </w:r>
      <w:r w:rsidRPr="32F2D8EB" w:rsidR="00345CB6">
        <w:rPr>
          <w:rFonts w:ascii="Calibri" w:hAnsi="Calibri" w:eastAsia="Calibri" w:cs="Calibri"/>
        </w:rPr>
        <w:t>, this test is called</w:t>
      </w:r>
      <w:r w:rsidRPr="32F2D8EB" w:rsidR="7EFFF2DD">
        <w:rPr>
          <w:rFonts w:ascii="Calibri" w:hAnsi="Calibri" w:eastAsia="Calibri" w:cs="Calibri"/>
        </w:rPr>
        <w:t xml:space="preserve"> </w:t>
      </w:r>
      <w:r w:rsidRPr="32F2D8EB" w:rsidR="2819E5CA">
        <w:rPr>
          <w:rFonts w:ascii="Calibri" w:hAnsi="Calibri" w:eastAsia="Calibri" w:cs="Calibri"/>
        </w:rPr>
        <w:t>IGF</w:t>
      </w:r>
      <w:r w:rsidRPr="32F2D8EB" w:rsidR="00345CB6">
        <w:rPr>
          <w:rFonts w:ascii="Calibri" w:hAnsi="Calibri" w:eastAsia="Calibri" w:cs="Calibri"/>
        </w:rPr>
        <w:t xml:space="preserve">-1. </w:t>
      </w:r>
    </w:p>
    <w:p w:rsidR="00BA3071" w:rsidRDefault="00345CB6" w14:paraId="0CCBCCBE" w14:textId="1A844E1B">
      <w:pPr>
        <w:numPr>
          <w:ilvl w:val="0"/>
          <w:numId w:val="2"/>
        </w:numPr>
        <w:spacing w:after="0" w:line="240" w:lineRule="auto"/>
        <w:ind w:left="284"/>
        <w:rPr>
          <w:rFonts w:ascii="Calibri" w:hAnsi="Calibri" w:eastAsia="Calibri" w:cs="Calibri"/>
        </w:rPr>
      </w:pPr>
      <w:r w:rsidRPr="32F2D8EB" w:rsidR="00345CB6">
        <w:rPr>
          <w:rFonts w:ascii="Calibri" w:hAnsi="Calibri" w:eastAsia="Calibri" w:cs="Calibri"/>
        </w:rPr>
        <w:t xml:space="preserve">A bone age </w:t>
      </w:r>
      <w:r w:rsidRPr="32F2D8EB" w:rsidR="00345CB6">
        <w:rPr>
          <w:rFonts w:ascii="Calibri" w:hAnsi="Calibri" w:eastAsia="Calibri" w:cs="Calibri"/>
        </w:rPr>
        <w:t>(hand</w:t>
      </w:r>
      <w:r w:rsidRPr="32F2D8EB" w:rsidR="00345CB6">
        <w:rPr>
          <w:rFonts w:ascii="Calibri" w:hAnsi="Calibri" w:eastAsia="Calibri" w:cs="Calibri"/>
        </w:rPr>
        <w:t xml:space="preserve"> x-ray) may be done to assess growth potential.</w:t>
      </w:r>
    </w:p>
    <w:p w:rsidR="00BA3071" w:rsidRDefault="00BA3071" w14:paraId="0A37501D" w14:textId="77777777">
      <w:pPr>
        <w:spacing w:after="0" w:line="240" w:lineRule="auto"/>
        <w:rPr>
          <w:rFonts w:ascii="Calibri" w:hAnsi="Calibri" w:eastAsia="Calibri" w:cs="Calibri"/>
        </w:rPr>
      </w:pPr>
    </w:p>
    <w:p w:rsidR="00BA3071" w:rsidP="32F2D8EB" w:rsidRDefault="00345CB6" w14:paraId="79FD1245" w14:textId="3B9877A5">
      <w:pPr>
        <w:spacing w:after="0" w:line="240" w:lineRule="auto"/>
        <w:rPr>
          <w:rFonts w:ascii="Calibri" w:hAnsi="Calibri" w:eastAsia="Calibri" w:cs="Calibri"/>
          <w:b w:val="1"/>
          <w:bCs w:val="1"/>
        </w:rPr>
      </w:pPr>
      <w:r w:rsidRPr="32F2D8EB" w:rsidR="00345CB6">
        <w:rPr>
          <w:rFonts w:ascii="Calibri" w:hAnsi="Calibri" w:eastAsia="Calibri" w:cs="Calibri"/>
        </w:rPr>
        <w:t xml:space="preserve"> </w:t>
      </w:r>
      <w:r w:rsidRPr="32F2D8EB" w:rsidR="5DA02AA8">
        <w:rPr>
          <w:rFonts w:ascii="Calibri" w:hAnsi="Calibri" w:eastAsia="Calibri" w:cs="Calibri"/>
          <w:b w:val="1"/>
          <w:bCs w:val="1"/>
        </w:rPr>
        <w:t xml:space="preserve">Prescriptions are written for a three-month supply with one repeat for </w:t>
      </w:r>
      <w:r w:rsidRPr="32F2D8EB" w:rsidR="53C2283D">
        <w:rPr>
          <w:rFonts w:ascii="Calibri" w:hAnsi="Calibri" w:eastAsia="Calibri" w:cs="Calibri"/>
          <w:b w:val="1"/>
          <w:bCs w:val="1"/>
        </w:rPr>
        <w:t xml:space="preserve">a total of </w:t>
      </w:r>
      <w:r w:rsidRPr="32F2D8EB" w:rsidR="5DA02AA8">
        <w:rPr>
          <w:rFonts w:ascii="Calibri" w:hAnsi="Calibri" w:eastAsia="Calibri" w:cs="Calibri"/>
          <w:b w:val="1"/>
          <w:bCs w:val="1"/>
        </w:rPr>
        <w:t>6 months.</w:t>
      </w:r>
    </w:p>
    <w:p w:rsidR="00BA3071" w:rsidRDefault="00BA3071" w14:paraId="5DAB6C7B" w14:textId="77777777">
      <w:pPr>
        <w:spacing w:after="0" w:line="240" w:lineRule="auto"/>
        <w:rPr>
          <w:rFonts w:ascii="Calibri" w:hAnsi="Calibri" w:eastAsia="Calibri" w:cs="Calibri"/>
        </w:rPr>
      </w:pPr>
    </w:p>
    <w:p w:rsidR="00BA3071" w:rsidP="32F2D8EB" w:rsidRDefault="00345CB6" w14:paraId="7DC1773D" w14:textId="77777777">
      <w:pPr>
        <w:spacing w:after="0" w:line="240" w:lineRule="auto"/>
        <w:rPr>
          <w:rFonts w:ascii="Calibri" w:hAnsi="Calibri" w:eastAsia="Calibri" w:cs="Calibri"/>
          <w:b w:val="1"/>
          <w:bCs w:val="1"/>
          <w:u w:val="single"/>
        </w:rPr>
      </w:pPr>
      <w:r w:rsidRPr="32F2D8EB" w:rsidR="00345CB6">
        <w:rPr>
          <w:rFonts w:ascii="Calibri" w:hAnsi="Calibri" w:eastAsia="Calibri" w:cs="Calibri"/>
          <w:b w:val="1"/>
          <w:bCs w:val="1"/>
          <w:u w:val="single"/>
        </w:rPr>
        <w:t>Cleaning the injection site:</w:t>
      </w:r>
    </w:p>
    <w:p w:rsidR="00BA3071" w:rsidP="32F2D8EB" w:rsidRDefault="00345CB6" w14:paraId="0F68D3C1" w14:textId="15982EE9">
      <w:pPr>
        <w:numPr>
          <w:ilvl w:val="0"/>
          <w:numId w:val="3"/>
        </w:numPr>
        <w:spacing w:after="0" w:line="240" w:lineRule="auto"/>
        <w:ind w:left="284"/>
        <w:rPr>
          <w:rFonts w:ascii="Calibri" w:hAnsi="Calibri" w:eastAsia="Calibri" w:cs="Calibri"/>
        </w:rPr>
      </w:pPr>
      <w:r w:rsidRPr="32F2D8EB" w:rsidR="00345CB6">
        <w:rPr>
          <w:rFonts w:ascii="Calibri" w:hAnsi="Calibri" w:eastAsia="Calibri" w:cs="Calibri"/>
        </w:rPr>
        <w:t>Use soap and water to clean the skin or give the injection right after a bath or shower when the skin</w:t>
      </w:r>
      <w:r w:rsidRPr="32F2D8EB" w:rsidR="00345CB6">
        <w:rPr>
          <w:rFonts w:ascii="Calibri" w:hAnsi="Calibri" w:eastAsia="Calibri" w:cs="Calibri"/>
        </w:rPr>
        <w:t xml:space="preserve"> </w:t>
      </w:r>
      <w:r w:rsidRPr="32F2D8EB" w:rsidR="21B45F79">
        <w:rPr>
          <w:rFonts w:ascii="Calibri" w:hAnsi="Calibri" w:eastAsia="Calibri" w:cs="Calibri"/>
        </w:rPr>
        <w:t>is clean</w:t>
      </w:r>
      <w:r w:rsidRPr="32F2D8EB" w:rsidR="00345CB6">
        <w:rPr>
          <w:rFonts w:ascii="Calibri" w:hAnsi="Calibri" w:eastAsia="Calibri" w:cs="Calibri"/>
        </w:rPr>
        <w:t>.</w:t>
      </w:r>
    </w:p>
    <w:p w:rsidR="00BA3071" w:rsidRDefault="00345CB6" w14:paraId="3E22A8E4" w14:textId="77777777">
      <w:pPr>
        <w:numPr>
          <w:ilvl w:val="0"/>
          <w:numId w:val="4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Do </w:t>
      </w:r>
      <w:r>
        <w:rPr>
          <w:rFonts w:ascii="Calibri" w:hAnsi="Calibri" w:eastAsia="Calibri" w:cs="Calibri"/>
          <w:b/>
        </w:rPr>
        <w:t>NOT</w:t>
      </w:r>
      <w:r>
        <w:rPr>
          <w:rFonts w:ascii="Calibri" w:hAnsi="Calibri" w:eastAsia="Calibri" w:cs="Calibri"/>
        </w:rPr>
        <w:t xml:space="preserve"> use alcohol as this causes dry skin and painful injections with daily use.</w:t>
      </w:r>
    </w:p>
    <w:p w:rsidR="00BA3071" w:rsidRDefault="00BA3071" w14:paraId="02EB378F" w14:textId="77777777">
      <w:pPr>
        <w:spacing w:after="0" w:line="240" w:lineRule="auto"/>
        <w:ind w:left="284"/>
        <w:rPr>
          <w:rFonts w:ascii="Calibri" w:hAnsi="Calibri" w:eastAsia="Calibri" w:cs="Calibri"/>
        </w:rPr>
      </w:pPr>
    </w:p>
    <w:p w:rsidR="00BA3071" w:rsidP="32F2D8EB" w:rsidRDefault="00345CB6" w14:paraId="1A2330C5" w14:textId="01219D41">
      <w:pPr>
        <w:spacing w:after="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2F2D8EB" w:rsidR="00345CB6">
        <w:rPr>
          <w:rFonts w:ascii="Calibri" w:hAnsi="Calibri" w:eastAsia="Calibri" w:cs="Calibri"/>
          <w:b w:val="1"/>
          <w:bCs w:val="1"/>
          <w:u w:val="single"/>
        </w:rPr>
        <w:t>Side effects</w:t>
      </w:r>
      <w:r w:rsidRPr="32F2D8EB" w:rsidR="00345CB6">
        <w:rPr>
          <w:rFonts w:ascii="Calibri" w:hAnsi="Calibri" w:eastAsia="Calibri" w:cs="Calibri"/>
          <w:u w:val="single"/>
        </w:rPr>
        <w:t xml:space="preserve">: </w:t>
      </w:r>
      <w:r w:rsidRPr="32F2D8EB" w:rsidR="00345CB6">
        <w:rPr>
          <w:rFonts w:ascii="Calibri" w:hAnsi="Calibri" w:eastAsia="Calibri" w:cs="Calibri"/>
        </w:rPr>
        <w:t xml:space="preserve">    </w:t>
      </w:r>
      <w:r w:rsidRPr="32F2D8EB" w:rsidR="00345CB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Please call Endocrinology </w:t>
      </w:r>
      <w:r w:rsidRPr="32F2D8EB" w:rsidR="00345CB6">
        <w:rPr>
          <w:rFonts w:ascii="Calibri" w:hAnsi="Calibri" w:eastAsia="Calibri" w:cs="Calibri"/>
          <w:b w:val="1"/>
          <w:bCs w:val="1"/>
          <w:sz w:val="24"/>
          <w:szCs w:val="24"/>
        </w:rPr>
        <w:t>immediately</w:t>
      </w:r>
      <w:r w:rsidRPr="32F2D8EB" w:rsidR="00345CB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if your child </w:t>
      </w:r>
      <w:r w:rsidRPr="32F2D8EB" w:rsidR="7F003DC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has: </w:t>
      </w:r>
    </w:p>
    <w:p w:rsidR="00BA3071" w:rsidRDefault="00345CB6" w14:paraId="2C9E0CE9" w14:textId="77777777">
      <w:pPr>
        <w:numPr>
          <w:ilvl w:val="0"/>
          <w:numId w:val="5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 severe headache that does not resolve with acetaminophen (Tylenol) or ibuprofen (Motrin, Advil).</w:t>
      </w:r>
    </w:p>
    <w:p w:rsidR="00BA3071" w:rsidRDefault="00345CB6" w14:paraId="45977F15" w14:textId="77777777">
      <w:pPr>
        <w:numPr>
          <w:ilvl w:val="0"/>
          <w:numId w:val="5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 severe headache and /or vomiting upon waking in the morning.</w:t>
      </w:r>
    </w:p>
    <w:p w:rsidR="00BA3071" w:rsidRDefault="00345CB6" w14:paraId="5DAA0E8C" w14:textId="77777777">
      <w:pPr>
        <w:numPr>
          <w:ilvl w:val="0"/>
          <w:numId w:val="5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Difficulty walking, weight bearing or complaining of severe hip pain without a cause such as an injury.</w:t>
      </w:r>
    </w:p>
    <w:p w:rsidR="00BA3071" w:rsidRDefault="00345CB6" w14:paraId="14C17380" w14:textId="77777777">
      <w:pPr>
        <w:numPr>
          <w:ilvl w:val="0"/>
          <w:numId w:val="5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An injection site that has become red, swollen, or painful to touch.</w:t>
      </w:r>
    </w:p>
    <w:p w:rsidR="00BA3071" w:rsidRDefault="00BA3071" w14:paraId="6A05A809" w14:textId="77777777">
      <w:pPr>
        <w:spacing w:after="0" w:line="240" w:lineRule="auto"/>
        <w:ind w:left="284"/>
        <w:rPr>
          <w:rFonts w:ascii="Calibri" w:hAnsi="Calibri" w:eastAsia="Calibri" w:cs="Calibri"/>
        </w:rPr>
      </w:pPr>
    </w:p>
    <w:p w:rsidR="00BA3071" w:rsidRDefault="00345CB6" w14:paraId="746ACEC7" w14:textId="77777777">
      <w:pPr>
        <w:spacing w:after="0" w:line="240" w:lineRule="auto"/>
        <w:rPr>
          <w:rFonts w:ascii="Calibri" w:hAnsi="Calibri" w:eastAsia="Calibri" w:cs="Calibri"/>
        </w:rPr>
      </w:pPr>
      <w:r w:rsidRPr="32F2D8EB" w:rsidR="00345CB6">
        <w:rPr>
          <w:rFonts w:ascii="Calibri" w:hAnsi="Calibri" w:eastAsia="Calibri" w:cs="Calibri"/>
          <w:b w:val="1"/>
          <w:bCs w:val="1"/>
          <w:u w:val="single"/>
        </w:rPr>
        <w:t>Travel</w:t>
      </w:r>
      <w:r w:rsidRPr="32F2D8EB" w:rsidR="00345CB6">
        <w:rPr>
          <w:rFonts w:ascii="Calibri" w:hAnsi="Calibri" w:eastAsia="Calibri" w:cs="Calibri"/>
          <w:b w:val="1"/>
          <w:bCs w:val="1"/>
        </w:rPr>
        <w:t xml:space="preserve">: </w:t>
      </w:r>
      <w:r w:rsidRPr="32F2D8EB" w:rsidR="00345CB6">
        <w:rPr>
          <w:rFonts w:ascii="Calibri" w:hAnsi="Calibri" w:eastAsia="Calibri" w:cs="Calibri"/>
        </w:rPr>
        <w:t xml:space="preserve"> </w:t>
      </w:r>
    </w:p>
    <w:p w:rsidR="00BA3071" w:rsidRDefault="00345CB6" w14:paraId="7B89DFEE" w14:textId="77777777">
      <w:pPr>
        <w:numPr>
          <w:ilvl w:val="0"/>
          <w:numId w:val="6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Growth hormone must be kept in your carry-on luggage when travelling by air to ensure it does not  </w:t>
      </w:r>
    </w:p>
    <w:p w:rsidR="00BA3071" w:rsidRDefault="00345CB6" w14:paraId="45A0D472" w14:textId="77777777">
      <w:p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freeze or is lost.</w:t>
      </w:r>
    </w:p>
    <w:p w:rsidR="00BA3071" w:rsidRDefault="00345CB6" w14:paraId="45BFE201" w14:textId="220F4D90">
      <w:pPr>
        <w:numPr>
          <w:ilvl w:val="0"/>
          <w:numId w:val="7"/>
        </w:numPr>
        <w:spacing w:after="0" w:line="240" w:lineRule="auto"/>
        <w:ind w:left="284"/>
        <w:rPr>
          <w:rFonts w:ascii="Calibri" w:hAnsi="Calibri" w:eastAsia="Calibri" w:cs="Calibri"/>
          <w:u w:val="single"/>
        </w:rPr>
      </w:pPr>
      <w:r w:rsidRPr="32F2D8EB" w:rsidR="00345CB6">
        <w:rPr>
          <w:rFonts w:ascii="Calibri" w:hAnsi="Calibri" w:eastAsia="Calibri" w:cs="Calibri"/>
        </w:rPr>
        <w:t xml:space="preserve">We can provide a travel letter for you </w:t>
      </w:r>
      <w:r w:rsidRPr="32F2D8EB" w:rsidR="3E3C85C7">
        <w:rPr>
          <w:rFonts w:ascii="Calibri" w:hAnsi="Calibri" w:eastAsia="Calibri" w:cs="Calibri"/>
        </w:rPr>
        <w:t>to show</w:t>
      </w:r>
      <w:r w:rsidRPr="32F2D8EB" w:rsidR="00345CB6">
        <w:rPr>
          <w:rFonts w:ascii="Calibri" w:hAnsi="Calibri" w:eastAsia="Calibri" w:cs="Calibri"/>
        </w:rPr>
        <w:t xml:space="preserve"> airport security. Please give us at least a weeks’ notice </w:t>
      </w:r>
    </w:p>
    <w:p w:rsidR="00BA3071" w:rsidRDefault="00345CB6" w14:paraId="24981E45" w14:textId="77777777">
      <w:pPr>
        <w:spacing w:after="0" w:line="240" w:lineRule="auto"/>
        <w:ind w:left="284"/>
        <w:rPr>
          <w:rFonts w:ascii="Calibri" w:hAnsi="Calibri" w:eastAsia="Calibri" w:cs="Calibri"/>
          <w:u w:val="single"/>
        </w:rPr>
      </w:pPr>
      <w:r>
        <w:rPr>
          <w:rFonts w:ascii="Calibri" w:hAnsi="Calibri" w:eastAsia="Calibri" w:cs="Calibri"/>
        </w:rPr>
        <w:t xml:space="preserve">         to prepare and send it. </w:t>
      </w:r>
    </w:p>
    <w:p w:rsidR="00BA3071" w:rsidRDefault="00BA3071" w14:paraId="5A39BBE3" w14:textId="77777777">
      <w:pPr>
        <w:spacing w:after="0" w:line="240" w:lineRule="auto"/>
        <w:rPr>
          <w:rFonts w:ascii="Calibri" w:hAnsi="Calibri" w:eastAsia="Calibri" w:cs="Calibri"/>
          <w:u w:val="single"/>
        </w:rPr>
      </w:pPr>
    </w:p>
    <w:p w:rsidR="00BA3071" w:rsidRDefault="00345CB6" w14:paraId="65C45681" w14:textId="3BEFB7EF">
      <w:pPr>
        <w:spacing w:after="0" w:line="240" w:lineRule="auto"/>
        <w:rPr>
          <w:rFonts w:ascii="Calibri" w:hAnsi="Calibri" w:eastAsia="Calibri" w:cs="Calibri"/>
        </w:rPr>
      </w:pPr>
      <w:r w:rsidRPr="32F2D8EB" w:rsidR="00345CB6">
        <w:rPr>
          <w:rFonts w:ascii="Calibri" w:hAnsi="Calibri" w:eastAsia="Calibri" w:cs="Calibri"/>
          <w:u w:val="single"/>
        </w:rPr>
        <w:t>Insurance renewals</w:t>
      </w:r>
      <w:r w:rsidRPr="32F2D8EB" w:rsidR="00345CB6">
        <w:rPr>
          <w:rFonts w:ascii="Calibri" w:hAnsi="Calibri" w:eastAsia="Calibri" w:cs="Calibri"/>
          <w:u w:val="single"/>
        </w:rPr>
        <w:t>:</w:t>
      </w:r>
      <w:r w:rsidRPr="32F2D8EB" w:rsidR="00345CB6">
        <w:rPr>
          <w:rFonts w:ascii="Calibri" w:hAnsi="Calibri" w:eastAsia="Calibri" w:cs="Calibri"/>
        </w:rPr>
        <w:t xml:space="preserve"> (</w:t>
      </w:r>
      <w:r w:rsidRPr="32F2D8EB" w:rsidR="00345CB6">
        <w:rPr>
          <w:rFonts w:ascii="Calibri" w:hAnsi="Calibri" w:eastAsia="Calibri" w:cs="Calibri"/>
        </w:rPr>
        <w:t>If your child has an Ontario Health Card and has Growth Hormone deficiency this section does not apply)</w:t>
      </w:r>
    </w:p>
    <w:p w:rsidR="00BA3071" w:rsidRDefault="00345CB6" w14:paraId="5E76D839" w14:textId="77777777">
      <w:pPr>
        <w:numPr>
          <w:ilvl w:val="0"/>
          <w:numId w:val="8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Most Insurance companies require </w:t>
      </w:r>
      <w:r>
        <w:rPr>
          <w:rFonts w:ascii="Calibri" w:hAnsi="Calibri" w:eastAsia="Calibri" w:cs="Calibri"/>
          <w:b/>
        </w:rPr>
        <w:t>yearly renewal</w:t>
      </w:r>
      <w:r>
        <w:rPr>
          <w:rFonts w:ascii="Calibri" w:hAnsi="Calibri" w:eastAsia="Calibri" w:cs="Calibri"/>
        </w:rPr>
        <w:t xml:space="preserve"> of your financial coverage of the GH.</w:t>
      </w:r>
    </w:p>
    <w:p w:rsidR="00BA3071" w:rsidRDefault="00345CB6" w14:paraId="6B328ABF" w14:textId="43EDEF40">
      <w:pPr>
        <w:numPr>
          <w:ilvl w:val="0"/>
          <w:numId w:val="8"/>
        </w:numPr>
        <w:spacing w:after="0" w:line="240" w:lineRule="auto"/>
        <w:ind w:left="284"/>
        <w:rPr>
          <w:rFonts w:ascii="Calibri" w:hAnsi="Calibri" w:eastAsia="Calibri" w:cs="Calibri"/>
        </w:rPr>
      </w:pPr>
      <w:r w:rsidRPr="32F2D8EB" w:rsidR="00345CB6">
        <w:rPr>
          <w:rFonts w:ascii="Calibri" w:hAnsi="Calibri" w:eastAsia="Calibri" w:cs="Calibri"/>
        </w:rPr>
        <w:t xml:space="preserve">It is your responsibility to send us the </w:t>
      </w:r>
      <w:r w:rsidRPr="32F2D8EB" w:rsidR="00345CB6">
        <w:rPr>
          <w:rFonts w:ascii="Calibri" w:hAnsi="Calibri" w:eastAsia="Calibri" w:cs="Calibri"/>
        </w:rPr>
        <w:t>appropriate forms</w:t>
      </w:r>
      <w:r w:rsidRPr="32F2D8EB" w:rsidR="00345CB6">
        <w:rPr>
          <w:rFonts w:ascii="Calibri" w:hAnsi="Calibri" w:eastAsia="Calibri" w:cs="Calibri"/>
        </w:rPr>
        <w:t xml:space="preserve"> to complete two months before the expiry date. Please ensure the 'personal information' </w:t>
      </w:r>
      <w:r w:rsidRPr="32F2D8EB" w:rsidR="00345CB6">
        <w:rPr>
          <w:rFonts w:ascii="Calibri" w:hAnsi="Calibri" w:eastAsia="Calibri" w:cs="Calibri"/>
        </w:rPr>
        <w:t>portion</w:t>
      </w:r>
      <w:r w:rsidRPr="32F2D8EB" w:rsidR="00345CB6">
        <w:rPr>
          <w:rFonts w:ascii="Calibri" w:hAnsi="Calibri" w:eastAsia="Calibri" w:cs="Calibri"/>
        </w:rPr>
        <w:t xml:space="preserve"> of the form is </w:t>
      </w:r>
      <w:r w:rsidRPr="32F2D8EB" w:rsidR="2C86C687">
        <w:rPr>
          <w:rFonts w:ascii="Calibri" w:hAnsi="Calibri" w:eastAsia="Calibri" w:cs="Calibri"/>
        </w:rPr>
        <w:t>completed and</w:t>
      </w:r>
      <w:r w:rsidRPr="32F2D8EB" w:rsidR="00345CB6">
        <w:rPr>
          <w:rFonts w:ascii="Calibri" w:hAnsi="Calibri" w:eastAsia="Calibri" w:cs="Calibri"/>
        </w:rPr>
        <w:t xml:space="preserve"> </w:t>
      </w:r>
      <w:r w:rsidRPr="32F2D8EB" w:rsidR="48BC2F62">
        <w:rPr>
          <w:rFonts w:ascii="Calibri" w:hAnsi="Calibri" w:eastAsia="Calibri" w:cs="Calibri"/>
        </w:rPr>
        <w:t>includes</w:t>
      </w:r>
      <w:r w:rsidRPr="32F2D8EB" w:rsidR="00345CB6">
        <w:rPr>
          <w:rFonts w:ascii="Calibri" w:hAnsi="Calibri" w:eastAsia="Calibri" w:cs="Calibri"/>
        </w:rPr>
        <w:t xml:space="preserve"> a signature. Our clinic will complete the medical </w:t>
      </w:r>
      <w:r w:rsidRPr="32F2D8EB" w:rsidR="00345CB6">
        <w:rPr>
          <w:rFonts w:ascii="Calibri" w:hAnsi="Calibri" w:eastAsia="Calibri" w:cs="Calibri"/>
        </w:rPr>
        <w:t>portion</w:t>
      </w:r>
      <w:r w:rsidRPr="32F2D8EB" w:rsidR="00345CB6">
        <w:rPr>
          <w:rFonts w:ascii="Calibri" w:hAnsi="Calibri" w:eastAsia="Calibri" w:cs="Calibri"/>
        </w:rPr>
        <w:t xml:space="preserve"> and </w:t>
      </w:r>
      <w:r w:rsidRPr="32F2D8EB" w:rsidR="00345CB6">
        <w:rPr>
          <w:rFonts w:ascii="Calibri" w:hAnsi="Calibri" w:eastAsia="Calibri" w:cs="Calibri"/>
        </w:rPr>
        <w:t>submit</w:t>
      </w:r>
      <w:r w:rsidRPr="32F2D8EB" w:rsidR="00345CB6">
        <w:rPr>
          <w:rFonts w:ascii="Calibri" w:hAnsi="Calibri" w:eastAsia="Calibri" w:cs="Calibri"/>
        </w:rPr>
        <w:t xml:space="preserve"> the forms to the insurance company.</w:t>
      </w:r>
    </w:p>
    <w:p w:rsidR="00BA3071" w:rsidRDefault="00345CB6" w14:paraId="190B3716" w14:textId="77777777">
      <w:pPr>
        <w:numPr>
          <w:ilvl w:val="0"/>
          <w:numId w:val="8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If you use OHIP+ (with the Exceptional Access Program/EAP) this requires annual renewal by the clinic. Please request a copy of the EAP approval and note the expiry date. Contact the clinic two months in advance to inform the Endocrine nurse that the EAP is expiring and requires renewal.</w:t>
      </w:r>
    </w:p>
    <w:p w:rsidR="00BA3071" w:rsidRDefault="00345CB6" w14:paraId="65F26184" w14:textId="77777777">
      <w:pPr>
        <w:numPr>
          <w:ilvl w:val="0"/>
          <w:numId w:val="8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You will be enrolled in the patient support program for your product. Please contact them if you have any questions about the device and if you need supplies.</w:t>
      </w:r>
    </w:p>
    <w:p w:rsidR="00BA3071" w:rsidRDefault="00345CB6" w14:paraId="5B075032" w14:textId="06C4F81D">
      <w:pPr>
        <w:numPr>
          <w:ilvl w:val="0"/>
          <w:numId w:val="8"/>
        </w:numPr>
        <w:spacing w:after="0" w:line="240" w:lineRule="auto"/>
        <w:ind w:left="284"/>
        <w:rPr>
          <w:rFonts w:ascii="Calibri" w:hAnsi="Calibri" w:eastAsia="Calibri" w:cs="Calibri"/>
        </w:rPr>
      </w:pPr>
      <w:r w:rsidRPr="32F2D8EB" w:rsidR="00345CB6">
        <w:rPr>
          <w:rFonts w:ascii="Calibri" w:hAnsi="Calibri" w:eastAsia="Calibri" w:cs="Calibri"/>
        </w:rPr>
        <w:t>If your insurance has expired and your medication is not covered</w:t>
      </w:r>
      <w:r w:rsidRPr="32F2D8EB" w:rsidR="071B5B78">
        <w:rPr>
          <w:rFonts w:ascii="Calibri" w:hAnsi="Calibri" w:eastAsia="Calibri" w:cs="Calibri"/>
        </w:rPr>
        <w:t>-</w:t>
      </w:r>
      <w:r w:rsidRPr="32F2D8EB" w:rsidR="00345CB6">
        <w:rPr>
          <w:rFonts w:ascii="Calibri" w:hAnsi="Calibri" w:eastAsia="Calibri" w:cs="Calibri"/>
        </w:rPr>
        <w:t xml:space="preserve"> </w:t>
      </w:r>
      <w:r w:rsidRPr="32F2D8EB" w:rsidR="00345CB6">
        <w:rPr>
          <w:rFonts w:ascii="Calibri" w:hAnsi="Calibri" w:eastAsia="Calibri" w:cs="Calibri"/>
          <w:b w:val="1"/>
          <w:bCs w:val="1"/>
          <w:u w:val="single"/>
        </w:rPr>
        <w:t>Please contact the patient support program and your Endocrine Nurse before purchasing medication.</w:t>
      </w:r>
      <w:r w:rsidRPr="32F2D8EB" w:rsidR="00345CB6">
        <w:rPr>
          <w:rFonts w:ascii="Calibri" w:hAnsi="Calibri" w:eastAsia="Calibri" w:cs="Calibri"/>
        </w:rPr>
        <w:t xml:space="preserve"> The insurance company may not reimburse your costs when your insurance has expired. The support companies often </w:t>
      </w:r>
      <w:r w:rsidRPr="32F2D8EB" w:rsidR="00345CB6">
        <w:rPr>
          <w:rFonts w:ascii="Calibri" w:hAnsi="Calibri" w:eastAsia="Calibri" w:cs="Calibri"/>
        </w:rPr>
        <w:t>provide assistance</w:t>
      </w:r>
      <w:r w:rsidRPr="32F2D8EB" w:rsidR="00345CB6">
        <w:rPr>
          <w:rFonts w:ascii="Calibri" w:hAnsi="Calibri" w:eastAsia="Calibri" w:cs="Calibri"/>
        </w:rPr>
        <w:t xml:space="preserve"> with the cost of the medication.  You will also need to contact your insurance company to request forms to start </w:t>
      </w:r>
      <w:r w:rsidRPr="32F2D8EB" w:rsidR="3E13207E">
        <w:rPr>
          <w:rFonts w:ascii="Calibri" w:hAnsi="Calibri" w:eastAsia="Calibri" w:cs="Calibri"/>
        </w:rPr>
        <w:t>the renewal</w:t>
      </w:r>
      <w:r w:rsidRPr="32F2D8EB" w:rsidR="00345CB6">
        <w:rPr>
          <w:rFonts w:ascii="Calibri" w:hAnsi="Calibri" w:eastAsia="Calibri" w:cs="Calibri"/>
        </w:rPr>
        <w:t xml:space="preserve"> process.</w:t>
      </w:r>
    </w:p>
    <w:p w:rsidR="00BA3071" w:rsidRDefault="00BA3071" w14:paraId="41C8F396" w14:textId="77777777">
      <w:pPr>
        <w:spacing w:after="0" w:line="240" w:lineRule="auto"/>
        <w:ind w:left="284"/>
        <w:rPr>
          <w:rFonts w:ascii="Calibri" w:hAnsi="Calibri" w:eastAsia="Calibri" w:cs="Calibri"/>
        </w:rPr>
      </w:pPr>
    </w:p>
    <w:p w:rsidR="00BA3071" w:rsidRDefault="00345CB6" w14:paraId="63904CB7" w14:textId="77777777">
      <w:p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If you any questions, please reach out via my chart or you may call your Endocrine Nurse at </w:t>
      </w:r>
    </w:p>
    <w:p w:rsidR="00BA3071" w:rsidRDefault="00345CB6" w14:paraId="0BA0BB03" w14:textId="77777777">
      <w:pPr>
        <w:numPr>
          <w:ilvl w:val="0"/>
          <w:numId w:val="9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613-737-7600 Ext 2992 Brenda Fraser/ Sara Chang       </w:t>
      </w:r>
    </w:p>
    <w:p w:rsidR="00BA3071" w:rsidRDefault="00345CB6" w14:paraId="29CFE0C4" w14:textId="77777777">
      <w:pPr>
        <w:numPr>
          <w:ilvl w:val="0"/>
          <w:numId w:val="9"/>
        </w:numPr>
        <w:spacing w:after="0" w:line="240" w:lineRule="auto"/>
        <w:ind w:left="284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613-737-7600 Ext 1390 Natisa Letwin/Sara Chang</w:t>
      </w:r>
    </w:p>
    <w:p w:rsidR="00BA3071" w:rsidRDefault="00BA3071" w14:paraId="72A3D3EC" w14:textId="77777777">
      <w:pPr>
        <w:spacing w:after="0" w:line="240" w:lineRule="auto"/>
        <w:rPr>
          <w:rFonts w:ascii="Calibri" w:hAnsi="Calibri" w:eastAsia="Calibri" w:cs="Calibri"/>
        </w:rPr>
      </w:pPr>
    </w:p>
    <w:sectPr w:rsidR="00BA307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8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96B8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168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EA6DB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C65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3C5D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03E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51E3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6B43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8067252">
    <w:abstractNumId w:val="2"/>
  </w:num>
  <w:num w:numId="2" w16cid:durableId="503741041">
    <w:abstractNumId w:val="1"/>
  </w:num>
  <w:num w:numId="3" w16cid:durableId="463891696">
    <w:abstractNumId w:val="0"/>
  </w:num>
  <w:num w:numId="4" w16cid:durableId="827139111">
    <w:abstractNumId w:val="7"/>
  </w:num>
  <w:num w:numId="5" w16cid:durableId="434250503">
    <w:abstractNumId w:val="6"/>
  </w:num>
  <w:num w:numId="6" w16cid:durableId="1898008475">
    <w:abstractNumId w:val="8"/>
  </w:num>
  <w:num w:numId="7" w16cid:durableId="93601017">
    <w:abstractNumId w:val="5"/>
  </w:num>
  <w:num w:numId="8" w16cid:durableId="1075736317">
    <w:abstractNumId w:val="3"/>
  </w:num>
  <w:num w:numId="9" w16cid:durableId="1385911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71"/>
    <w:rsid w:val="00345CB6"/>
    <w:rsid w:val="00BA3071"/>
    <w:rsid w:val="00ED621D"/>
    <w:rsid w:val="071B5B78"/>
    <w:rsid w:val="07472D47"/>
    <w:rsid w:val="09D8F1CE"/>
    <w:rsid w:val="0B5B7E3B"/>
    <w:rsid w:val="15984B8A"/>
    <w:rsid w:val="21B45F79"/>
    <w:rsid w:val="2819E5CA"/>
    <w:rsid w:val="2C86C687"/>
    <w:rsid w:val="32CF56FF"/>
    <w:rsid w:val="32F2D8EB"/>
    <w:rsid w:val="33C3C8FD"/>
    <w:rsid w:val="3A51134F"/>
    <w:rsid w:val="3E13207E"/>
    <w:rsid w:val="3E3C85C7"/>
    <w:rsid w:val="48BC2F62"/>
    <w:rsid w:val="48CB9A86"/>
    <w:rsid w:val="53C2283D"/>
    <w:rsid w:val="5DA02AA8"/>
    <w:rsid w:val="622641F6"/>
    <w:rsid w:val="633B61E3"/>
    <w:rsid w:val="6C31566E"/>
    <w:rsid w:val="708FE286"/>
    <w:rsid w:val="7CD705AE"/>
    <w:rsid w:val="7EFFF2DD"/>
    <w:rsid w:val="7F00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D0D79"/>
  <w15:docId w15:val="{BA931BB7-1235-497A-A43D-6C4E8640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d1a41301203546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Fraser, Brenda (Endocrinology)</lastModifiedBy>
  <revision>2</revision>
  <dcterms:created xsi:type="dcterms:W3CDTF">2024-08-21T18:05:00.0000000Z</dcterms:created>
  <dcterms:modified xsi:type="dcterms:W3CDTF">2024-08-21T18:16:07.8939864Z</dcterms:modified>
</coreProperties>
</file>